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ra-2"/>
    <w:p>
      <w:pPr>
        <w:pStyle w:val="Heading1"/>
      </w:pPr>
      <w:r>
        <w:t xml:space="preserve">Homiletics Analysis: Ezra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Component of Ezra 1–6:</w:t>
      </w:r>
      <w:r>
        <w:t xml:space="preserve"> </w:t>
      </w:r>
      <w:r>
        <w:t xml:space="preserve">Ezra 1–6 constitutes a single narrative unit: the first return of exiles under Zerubbabel (538–516 BC), culminating in the rebuilding and dedication of the temple. Chapter 1 establishes the theological engine — Cyrus’s decree as God’s sovereign fulfillment of Jeremiah’s prophecy, the LORD stirring the spirits of the returnees, and the restoration of the temple vessels. Chapter 2 is the roster of those who answered the stirring. Chapter 3 records the reestablishment of worship. Chapters 4–6 narrate the opposition, delay, and ultimate completion of the temple. Within this arc, chapter 2 functions as the theological bridge between divine decree (ch. 1) and covenant worship restored (ch. 3) — it is the human face of God’s sovereign act.</w:t>
      </w:r>
    </w:p>
    <w:p>
      <w:pPr>
        <w:pStyle w:val="BodyText"/>
      </w:pPr>
      <w:r>
        <w:rPr>
          <w:b/>
          <w:bCs/>
        </w:rPr>
        <w:t xml:space="preserve">This Text — Content:</w:t>
      </w:r>
      <w:r>
        <w:t xml:space="preserve"> </w:t>
      </w:r>
      <w:r>
        <w:t xml:space="preserve">Ezra 2 is a comprehensive register of the exiles who returned from Babylon to Judah under the leadership of Zerubbabel and Jeshua. The list is organized by family and ancestral house (vv. 1–35), by priestly families (vv. 36–39), by Levites (vv. 40–42), by temple servants — the Nethinim and servants of Solomon (vv. 43–58), by those unable to prove their Israelite lineage (vv. 59–63), by a grand total (v. 64), by servants and singers (vv. 65–67), by the freewill offerings given at the temple site (vv. 68–69), and concludes with the settlement of the returned community in their towns (v. 70). The list totals 42,360 persons not counting servants and singers. Significantly, the chapter is nearly identical to Nehemiah 7:6–73, suggesting it was a foundational document of the restoration community.</w:t>
      </w:r>
    </w:p>
    <w:p>
      <w:pPr>
        <w:pStyle w:val="BodyText"/>
      </w:pPr>
      <w:r>
        <w:rPr>
          <w:b/>
          <w:bCs/>
        </w:rPr>
        <w:t xml:space="preserve">This Text — Intent:</w:t>
      </w:r>
      <w:r>
        <w:t xml:space="preserve"> </w:t>
      </w:r>
      <w:r>
        <w:t xml:space="preserve">God preserves this list not as administrative archiving but as covenantal testimony. The intent is to bear witness that these specific, named, counted, lineage-verified people are the living fulfillment of God’s promise to restore His people from exile — and that God’s covenant faithfulness is not abstract but particular. Every name on the list is evidence that God remembers. The effect God seeks in the reader is a settled confidence that His covenant purposes are both certain and personal: He does not save categories, He saves people; He does not restore a demographic, He brings home His own by name. The list also functions to validate the community’s covenantal standing — their right to worship, serve, and contribute — grounding the restoration on legitimate, traceable covenant identity. For God’s people in every generation, this chapter calls forth trust that those who belong to Him are not anonymous to Him.</w:t>
      </w:r>
    </w:p>
    <w:p>
      <w:r>
        <w:pict>
          <v:rect style="width:0;height:1.5pt" o:hralign="center" o:hrstd="t" o:hr="t"/>
        </w:pict>
      </w:r>
    </w:p>
    <w:p>
      <w:pPr>
        <w:pStyle w:val="FirstParagraph"/>
      </w:pPr>
      <w:r>
        <w:rPr>
          <w:b/>
          <w:bCs/>
        </w:rPr>
        <w:t xml:space="preserve">Subject Sentence:</w:t>
      </w:r>
      <w:r>
        <w:t xml:space="preserve"> </w:t>
      </w:r>
      <w:r>
        <w:t xml:space="preserve">God names and numbers His returning exiles as living proof of covenant fulfillment.</w:t>
      </w:r>
    </w:p>
    <w:p>
      <w:r>
        <w:pict>
          <v:rect style="width:0;height:1.5pt" o:hralign="center" o:hrstd="t" o:hr="t"/>
        </w:pict>
      </w:r>
    </w:p>
    <w:p>
      <w:pPr>
        <w:pStyle w:val="FirstParagraph"/>
      </w:pPr>
      <w:r>
        <w:rPr>
          <w:b/>
          <w:bCs/>
        </w:rPr>
        <w:t xml:space="preserve">Primary Claim:</w:t>
      </w:r>
      <w:r>
        <w:t xml:space="preserve"> </w:t>
      </w:r>
      <w:r>
        <w:t xml:space="preserve">God’s meticulous recording of every family, every priest, every Levite, and every servant who returned from exile declares that covenant restoration is not a general phenomenon but a particular act — He knows His own by name, He brings them home by count, and He accounts for every one of them. The reader is called to rest in the certainty that belonging to God means being personally, irreversibly known.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genealogical list:</w:t>
      </w:r>
      <w:r>
        <w:t xml:space="preserve"> </w:t>
      </w:r>
      <w:r>
        <w:t xml:space="preserve">A common misreading treats Ezra 2 as filler — the kind of chapter one skips in Bible reading plans, a bureaucratic interruption between the narrative of chapter 1 and the worship renewal of chapter 3. This reading fundamentally misunderstands the function of genealogical and census literature in the Old Testament. In the ancient Near East, and especially in covenant community life, lists of persons were not administrative trivia — they were covenantal testimony. The Israelites understood that to be numbered among God’s people was to be covenantally placed, to have a name before God and a standing within His purposes. Skipping this chapter skips the evidence that God’s promise actually landed on actual people. The Reformed reading insists on reading this list as theology in the form of names — the genre is the message.</w:t>
      </w:r>
    </w:p>
    <w:p>
      <w:pPr>
        <w:pStyle w:val="BodyText"/>
      </w:pPr>
      <w:r>
        <w:rPr>
          <w:b/>
          <w:bCs/>
        </w:rPr>
        <w:t xml:space="preserve">Priestly lineage and the excluded priests (vv. 61–63):</w:t>
      </w:r>
      <w:r>
        <w:t xml:space="preserve"> </w:t>
      </w:r>
      <w:r>
        <w:t xml:space="preserve">Verses 61–63 present an important interpretive point with direct applicational force: certain men claimed priestly descent but could not prove it from the genealogical records, and so they were excluded from priestly service until a priest could consult the Urim and Thummim. This passage is sometimes read by Dispensational interpreters as evidence of an anticipated restoration of the full Levitical priesthood in a future millennial temple, and the reference to the Urim and Thummim is read as pointing forward to a coming priestly reinstitution. While the text genuinely reflects a specific hope for the restoration of priestly verification mechanisms, the Reformed reading situates this within its redemptive-historical context: the returned community’s insistence on verified priestly lineage reflects the seriousness of covenant holiness and the danger of unauthorized access to God — a concern that finds its definitive resolution not in a future Levitical reinstitution but in Christ, the great High Priest whose lineage is not Aaronic but royal-priestly, established by divine oath (Psalm 110; Hebrews 7). The</w:t>
      </w:r>
      <w:r>
        <w:t xml:space="preserve"> </w:t>
      </w:r>
      <w:r>
        <w:rPr>
          <w:i/>
          <w:iCs/>
        </w:rPr>
        <w:t xml:space="preserve">qualify</w:t>
      </w:r>
      <w:r>
        <w:t xml:space="preserve"> </w:t>
      </w:r>
      <w:r>
        <w:t xml:space="preserve">judgment applies here: the Dispensational reading surfaces a genuine covenantal seriousness about priestly access but overreaches in expecting a future Levitical reinstatement that the New Testament explicitly redirects toward Christ.</w:t>
      </w:r>
    </w:p>
    <w:p>
      <w:pPr>
        <w:pStyle w:val="BodyText"/>
      </w:pPr>
      <w:r>
        <w:rPr>
          <w:b/>
          <w:bCs/>
        </w:rPr>
        <w:t xml:space="preserve">The Nehemiah 7 parallel:</w:t>
      </w:r>
      <w:r>
        <w:t xml:space="preserve"> </w:t>
      </w:r>
      <w:r>
        <w:t xml:space="preserve">The near-identical list in Nehemiah 7 raises the question of which is primary and why both are preserved. Some interpreters read the discrepancies in numbers between the two lists as textual corruption or scribal error, and use this to cast doubt on biblical inerrancy. This reading should be</w:t>
      </w:r>
      <w:r>
        <w:t xml:space="preserve"> </w:t>
      </w:r>
      <w:r>
        <w:rPr>
          <w:i/>
          <w:iCs/>
        </w:rPr>
        <w:t xml:space="preserve">refuted</w:t>
      </w:r>
      <w:r>
        <w:t xml:space="preserve"> </w:t>
      </w:r>
      <w:r>
        <w:t xml:space="preserve">not by harmonizing every figure through speculation but by recognizing that the discrepancies likely reflect different stages of compilation — Ezra 2 may reflect the original departure list; Nehemiah 7 may reflect a subsequent census of those who had settled. More importantly, the theological function is the same in both contexts: the returned community must verify its covenant identity before undertaking covenantal responsibilities (temple building in Ezra; wall rebuilding and covenant renewal in Nehemiah). The list is not an arithmetical test but a covenantal one. Inerrancy does not require identical numbers between two lists that may be measuring different moments of the same population.</w:t>
      </w:r>
    </w:p>
    <w:p>
      <w:pPr>
        <w:pStyle w:val="BodyText"/>
      </w:pPr>
      <w:r>
        <w:rPr>
          <w:b/>
          <w:bCs/>
        </w:rPr>
        <w:t xml:space="preserve">Reformed verdict:</w:t>
      </w:r>
      <w:r>
        <w:t xml:space="preserve"> </w:t>
      </w:r>
      <w:r>
        <w:t xml:space="preserve">The Reformed reading treats Ezra 2 as covenantal theology in the form of genealogical testimony — God’s particular, personal knowledge of His people made visible in the form of their names and numbers. The exclusion of unverifiable priests reflects covenant holiness, not a failure of grace. The list as a whole is a corporate resurrection — the bones of the exile community gathering from the nations at the word of the LORD, an echo of Ezekiel 37 in prose register.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30:11–16; Numbers 1–4</w:t>
      </w:r>
      <w:r>
        <w:t xml:space="preserve"> </w:t>
      </w:r>
      <w:r>
        <w:t xml:space="preserve">— The Mosaic census legislation establishes that to be counted among God’s people is a covenantal act, not merely administrative; a ransom was required to number the people because belonging to God’s community carries weight. Ezra 2 echoes this: the returnees are the numbered, ransomed people of God.</w:t>
      </w:r>
    </w:p>
    <w:p>
      <w:pPr>
        <w:numPr>
          <w:ilvl w:val="0"/>
          <w:numId w:val="1001"/>
        </w:numPr>
      </w:pPr>
      <w:r>
        <w:rPr>
          <w:b/>
          <w:bCs/>
        </w:rPr>
        <w:t xml:space="preserve">Ezekiel 37:1–14</w:t>
      </w:r>
      <w:r>
        <w:t xml:space="preserve"> </w:t>
      </w:r>
      <w:r>
        <w:t xml:space="preserve">— The vision of the valley of dry bones — scattered, dead, brought to life and reconstituted as an army — is the prophetic background against which Ezra 2 should be read. The names in Ezra 2 are the bones that have returned; the list is the evidence of the breath of God upon them.</w:t>
      </w:r>
    </w:p>
    <w:p>
      <w:pPr>
        <w:numPr>
          <w:ilvl w:val="0"/>
          <w:numId w:val="1001"/>
        </w:numPr>
      </w:pPr>
      <w:r>
        <w:rPr>
          <w:b/>
          <w:bCs/>
        </w:rPr>
        <w:t xml:space="preserve">Isaiah 43:1–7</w:t>
      </w:r>
      <w:r>
        <w:t xml:space="preserve"> </w:t>
      </w:r>
      <w:r>
        <w:t xml:space="preserve">—</w:t>
      </w:r>
      <w:r>
        <w:t xml:space="preserve"> </w:t>
      </w:r>
      <w:r>
        <w:t xml:space="preserve">“I have called you by name; you are mine… I will bring your offspring from the east and gather you from the west.”</w:t>
      </w:r>
      <w:r>
        <w:t xml:space="preserve"> </w:t>
      </w:r>
      <w:r>
        <w:t xml:space="preserve">This passage frames the return from exile as an act of God’s personal, name-knowing love. Ezra 2 is Isaiah 43 in register form.</w:t>
      </w:r>
    </w:p>
    <w:p>
      <w:pPr>
        <w:numPr>
          <w:ilvl w:val="0"/>
          <w:numId w:val="1001"/>
        </w:numPr>
      </w:pPr>
      <w:r>
        <w:rPr>
          <w:b/>
          <w:bCs/>
        </w:rPr>
        <w:t xml:space="preserve">John 10:3, 14</w:t>
      </w:r>
      <w:r>
        <w:t xml:space="preserve"> </w:t>
      </w:r>
      <w:r>
        <w:t xml:space="preserve">—</w:t>
      </w:r>
      <w:r>
        <w:t xml:space="preserve"> </w:t>
      </w:r>
      <w:r>
        <w:t xml:space="preserve">“He calls his own sheep by name and leads them out… I know my own and my own know me.”</w:t>
      </w:r>
      <w:r>
        <w:t xml:space="preserve"> </w:t>
      </w:r>
      <w:r>
        <w:t xml:space="preserve">The Good Shepherd’s particular knowledge of His sheep is the New Testament fulfillment of what the Ezra 2 list demonstrates in type — God does not gather a crowd, He calls individuals by name.</w:t>
      </w:r>
    </w:p>
    <w:p>
      <w:pPr>
        <w:numPr>
          <w:ilvl w:val="0"/>
          <w:numId w:val="1001"/>
        </w:numPr>
      </w:pPr>
      <w:r>
        <w:rPr>
          <w:b/>
          <w:bCs/>
        </w:rPr>
        <w:t xml:space="preserve">Revelation 20:12–15; 21:27</w:t>
      </w:r>
      <w:r>
        <w:t xml:space="preserve"> </w:t>
      </w:r>
      <w:r>
        <w:t xml:space="preserve">— The books of life in Revelation, in which the names of the redeemed are written, represent the eschatological fulfillment of the Ezra 2 pattern: belonging to God means being named, recorded, and irreversibly known.</w:t>
      </w:r>
    </w:p>
    <w:p>
      <w:r>
        <w:pict>
          <v:rect style="width:0;height:1.5pt" o:hralign="center" o:hrstd="t" o:hr="t"/>
        </w:pict>
      </w:r>
    </w:p>
    <w:p>
      <w:pPr>
        <w:pStyle w:val="FirstParagraph"/>
      </w:pPr>
      <w:r>
        <w:rPr>
          <w:b/>
          <w:bCs/>
        </w:rPr>
        <w:t xml:space="preserve">Aim:</w:t>
      </w:r>
      <w:r>
        <w:t xml:space="preserve"> </w:t>
      </w:r>
      <w:r>
        <w:t xml:space="preserve">To establish that God’s particular, name-specific knowledge of His returning people in Ezra 2 is not ancient administrative record-keeping but living covenantal testimony — and to bring the reader to a settled confidence that they, too, are personally, irreversibly known by the God who restores.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Introduction: those who returned from captivity to Jerusalem and Judah, each to his own town</w:t>
            </w:r>
          </w:p>
        </w:tc>
        <w:tc>
          <w:tcPr/>
          <w:p>
            <w:pPr>
              <w:pStyle w:val="Compact"/>
            </w:pPr>
            <w:r>
              <w:t xml:space="preserve">Grounds the list in the exodus-return pattern;</w:t>
            </w:r>
            <w:r>
              <w:t xml:space="preserve"> </w:t>
            </w:r>
            <w:r>
              <w:t xml:space="preserve">“his own town”</w:t>
            </w:r>
            <w:r>
              <w:t xml:space="preserve"> </w:t>
            </w:r>
            <w:r>
              <w:t xml:space="preserve">signals land-grant restoration</w:t>
            </w:r>
          </w:p>
        </w:tc>
      </w:tr>
      <w:tr>
        <w:tc>
          <w:tcPr/>
          <w:p>
            <w:pPr>
              <w:pStyle w:val="Compact"/>
            </w:pPr>
            <w:r>
              <w:t xml:space="preserve">2a</w:t>
            </w:r>
          </w:p>
        </w:tc>
        <w:tc>
          <w:tcPr/>
          <w:p>
            <w:pPr>
              <w:pStyle w:val="Compact"/>
            </w:pPr>
            <w:r>
              <w:t xml:space="preserve">Leadership roster: Zerubbabel, Jeshua, Nehemiah, Seraiah, Reelaiah, Mordecai, Bilshan, Mispar, Bigvai, Rehum, Baanah</w:t>
            </w:r>
          </w:p>
        </w:tc>
        <w:tc>
          <w:tcPr/>
          <w:p>
            <w:pPr>
              <w:pStyle w:val="Compact"/>
            </w:pPr>
            <w:r>
              <w:t xml:space="preserve">Zerubbabel (Davidic line) and Jeshua (high priestly line) — royal and priestly leadership paired; this pairing anticipates Zechariah 4</w:t>
            </w:r>
          </w:p>
        </w:tc>
      </w:tr>
      <w:tr>
        <w:tc>
          <w:tcPr/>
          <w:p>
            <w:pPr>
              <w:pStyle w:val="Compact"/>
            </w:pPr>
            <w:r>
              <w:t xml:space="preserve">2b–35</w:t>
            </w:r>
          </w:p>
        </w:tc>
        <w:tc>
          <w:tcPr/>
          <w:p>
            <w:pPr>
              <w:pStyle w:val="Compact"/>
            </w:pPr>
            <w:r>
              <w:t xml:space="preserve">Family register by ancestral house — named families with numbered totals</w:t>
            </w:r>
          </w:p>
        </w:tc>
        <w:tc>
          <w:tcPr/>
          <w:p>
            <w:pPr>
              <w:pStyle w:val="Compact"/>
            </w:pPr>
            <w:r>
              <w:t xml:space="preserve">Organized by family identity; verifiable lineage = covenantal standing; includes towns of origin (Bethlehem, Netophah, Anathoth, etc.)</w:t>
            </w:r>
          </w:p>
        </w:tc>
      </w:tr>
      <w:tr>
        <w:tc>
          <w:tcPr/>
          <w:p>
            <w:pPr>
              <w:pStyle w:val="Compact"/>
            </w:pPr>
            <w:r>
              <w:t xml:space="preserve">36–39</w:t>
            </w:r>
          </w:p>
        </w:tc>
        <w:tc>
          <w:tcPr/>
          <w:p>
            <w:pPr>
              <w:pStyle w:val="Compact"/>
            </w:pPr>
            <w:r>
              <w:t xml:space="preserve">Priestly families: Jedaiah (house of Jeshua), Immer, Pashhur, Harim — total 4,289</w:t>
            </w:r>
          </w:p>
        </w:tc>
        <w:tc>
          <w:tcPr/>
          <w:p>
            <w:pPr>
              <w:pStyle w:val="Compact"/>
            </w:pPr>
            <w:r>
              <w:t xml:space="preserve">Priests return in significant numbers; their verified lineage establishes legitimate worship leadership</w:t>
            </w:r>
          </w:p>
        </w:tc>
      </w:tr>
      <w:tr>
        <w:tc>
          <w:tcPr/>
          <w:p>
            <w:pPr>
              <w:pStyle w:val="Compact"/>
            </w:pPr>
            <w:r>
              <w:t xml:space="preserve">40</w:t>
            </w:r>
          </w:p>
        </w:tc>
        <w:tc>
          <w:tcPr/>
          <w:p>
            <w:pPr>
              <w:pStyle w:val="Compact"/>
            </w:pPr>
            <w:r>
              <w:t xml:space="preserve">Levites: Jeshua and Kadmiel of the sons of Hodaviah — 74</w:t>
            </w:r>
          </w:p>
        </w:tc>
        <w:tc>
          <w:tcPr/>
          <w:p>
            <w:pPr>
              <w:pStyle w:val="Compact"/>
            </w:pPr>
            <w:r>
              <w:t xml:space="preserve">Notably small number; Levites were reluctant to return (cf. Ezra 8:15–19 where Ezra must specifically recruit Levites)</w:t>
            </w:r>
          </w:p>
        </w:tc>
      </w:tr>
      <w:tr>
        <w:tc>
          <w:tcPr/>
          <w:p>
            <w:pPr>
              <w:pStyle w:val="Compact"/>
            </w:pPr>
            <w:r>
              <w:t xml:space="preserve">41</w:t>
            </w:r>
          </w:p>
        </w:tc>
        <w:tc>
          <w:tcPr/>
          <w:p>
            <w:pPr>
              <w:pStyle w:val="Compact"/>
            </w:pPr>
            <w:r>
              <w:t xml:space="preserve">Singers: sons of Asaph — 128</w:t>
            </w:r>
          </w:p>
        </w:tc>
        <w:tc>
          <w:tcPr/>
          <w:p>
            <w:pPr>
              <w:pStyle w:val="Compact"/>
            </w:pPr>
            <w:r>
              <w:t xml:space="preserve">Temple music restored alongside temple structure; worship is comprehensive</w:t>
            </w:r>
          </w:p>
        </w:tc>
      </w:tr>
      <w:tr>
        <w:tc>
          <w:tcPr/>
          <w:p>
            <w:pPr>
              <w:pStyle w:val="Compact"/>
            </w:pPr>
            <w:r>
              <w:t xml:space="preserve">42</w:t>
            </w:r>
          </w:p>
        </w:tc>
        <w:tc>
          <w:tcPr/>
          <w:p>
            <w:pPr>
              <w:pStyle w:val="Compact"/>
            </w:pPr>
            <w:r>
              <w:t xml:space="preserve">Gatekeepers: sons of Shallum, Ater, Talmon, Akkub, Hatita, Shobai — 139</w:t>
            </w:r>
          </w:p>
        </w:tc>
        <w:tc>
          <w:tcPr/>
          <w:p>
            <w:pPr>
              <w:pStyle w:val="Compact"/>
            </w:pPr>
            <w:r>
              <w:t xml:space="preserve">Order and holiness boundaries re-established</w:t>
            </w:r>
          </w:p>
        </w:tc>
      </w:tr>
      <w:tr>
        <w:tc>
          <w:tcPr/>
          <w:p>
            <w:pPr>
              <w:pStyle w:val="Compact"/>
            </w:pPr>
            <w:r>
              <w:t xml:space="preserve">43–54</w:t>
            </w:r>
          </w:p>
        </w:tc>
        <w:tc>
          <w:tcPr/>
          <w:p>
            <w:pPr>
              <w:pStyle w:val="Compact"/>
            </w:pPr>
            <w:r>
              <w:t xml:space="preserve">Nethinim (temple servants) — named families</w:t>
            </w:r>
          </w:p>
        </w:tc>
        <w:tc>
          <w:tcPr/>
          <w:p>
            <w:pPr>
              <w:pStyle w:val="Compact"/>
            </w:pPr>
            <w:r>
              <w:t xml:space="preserve">Nethinim were likely descendants of the Gibeonites given to temple service (cf. Josh. 9); their inclusion signals the breadth of covenant community</w:t>
            </w:r>
          </w:p>
        </w:tc>
      </w:tr>
      <w:tr>
        <w:tc>
          <w:tcPr/>
          <w:p>
            <w:pPr>
              <w:pStyle w:val="Compact"/>
            </w:pPr>
            <w:r>
              <w:t xml:space="preserve">55–57</w:t>
            </w:r>
          </w:p>
        </w:tc>
        <w:tc>
          <w:tcPr/>
          <w:p>
            <w:pPr>
              <w:pStyle w:val="Compact"/>
            </w:pPr>
            <w:r>
              <w:t xml:space="preserve">Servants of Solomon — named families</w:t>
            </w:r>
          </w:p>
        </w:tc>
        <w:tc>
          <w:tcPr/>
          <w:p>
            <w:pPr>
              <w:pStyle w:val="Compact"/>
            </w:pPr>
            <w:r>
              <w:t xml:space="preserve">A distinct group; their historical association with Solomon’s building projects makes their presence in the temple-rebuilding return especially fitting</w:t>
            </w:r>
          </w:p>
        </w:tc>
      </w:tr>
      <w:tr>
        <w:tc>
          <w:tcPr/>
          <w:p>
            <w:pPr>
              <w:pStyle w:val="Compact"/>
            </w:pPr>
            <w:r>
              <w:t xml:space="preserve">58</w:t>
            </w:r>
          </w:p>
        </w:tc>
        <w:tc>
          <w:tcPr/>
          <w:p>
            <w:pPr>
              <w:pStyle w:val="Compact"/>
            </w:pPr>
            <w:r>
              <w:t xml:space="preserve">Total of Nethinim and servants of Solomon: 392</w:t>
            </w:r>
          </w:p>
        </w:tc>
        <w:tc>
          <w:tcPr/>
          <w:p>
            <w:pPr>
              <w:pStyle w:val="Compact"/>
            </w:pPr>
          </w:p>
        </w:tc>
      </w:tr>
      <w:tr>
        <w:tc>
          <w:tcPr/>
          <w:p>
            <w:pPr>
              <w:pStyle w:val="Compact"/>
            </w:pPr>
            <w:r>
              <w:t xml:space="preserve">59–62</w:t>
            </w:r>
          </w:p>
        </w:tc>
        <w:tc>
          <w:tcPr/>
          <w:p>
            <w:pPr>
              <w:pStyle w:val="Compact"/>
            </w:pPr>
            <w:r>
              <w:t xml:space="preserve">Those who could not prove their Israelite lineage — from Tel-melah, Tel-harsha, Cherub, Addon, Immer</w:t>
            </w:r>
          </w:p>
        </w:tc>
        <w:tc>
          <w:tcPr/>
          <w:p>
            <w:pPr>
              <w:pStyle w:val="Compact"/>
            </w:pPr>
            <w:r>
              <w:t xml:space="preserve">Returned but their genealogical documentation was lost; they are noted but not excluded from the community entirely</w:t>
            </w:r>
          </w:p>
        </w:tc>
      </w:tr>
      <w:tr>
        <w:tc>
          <w:tcPr/>
          <w:p>
            <w:pPr>
              <w:pStyle w:val="Compact"/>
            </w:pPr>
            <w:r>
              <w:t xml:space="preserve">61–63</w:t>
            </w:r>
          </w:p>
        </w:tc>
        <w:tc>
          <w:tcPr/>
          <w:p>
            <w:pPr>
              <w:pStyle w:val="Compact"/>
            </w:pPr>
            <w:r>
              <w:t xml:space="preserve">Priests unable to prove lineage excluded from priestly service until a priest consulted the Urim and Thummim</w:t>
            </w:r>
          </w:p>
        </w:tc>
        <w:tc>
          <w:tcPr/>
          <w:p>
            <w:pPr>
              <w:pStyle w:val="Compact"/>
            </w:pPr>
            <w:r>
              <w:t xml:space="preserve">Covenant holiness: access to God requires verified standing; the Urim and Thummim reference signals unresolved priestly question awaiting divine resolution</w:t>
            </w:r>
          </w:p>
        </w:tc>
      </w:tr>
      <w:tr>
        <w:tc>
          <w:tcPr/>
          <w:p>
            <w:pPr>
              <w:pStyle w:val="Compact"/>
            </w:pPr>
            <w:r>
              <w:t xml:space="preserve">64–65</w:t>
            </w:r>
          </w:p>
        </w:tc>
        <w:tc>
          <w:tcPr/>
          <w:p>
            <w:pPr>
              <w:pStyle w:val="Compact"/>
            </w:pPr>
            <w:r>
              <w:t xml:space="preserve">Grand total: 42,360 — plus 7,337 servants and 200 male and female singers</w:t>
            </w:r>
          </w:p>
        </w:tc>
        <w:tc>
          <w:tcPr/>
          <w:p>
            <w:pPr>
              <w:pStyle w:val="Compact"/>
            </w:pPr>
            <w:r>
              <w:t xml:space="preserve">The number is significant; comparable to the exodus generation and the Mosaic census numbers — a new exodus pattern</w:t>
            </w:r>
          </w:p>
        </w:tc>
      </w:tr>
      <w:tr>
        <w:tc>
          <w:tcPr/>
          <w:p>
            <w:pPr>
              <w:pStyle w:val="Compact"/>
            </w:pPr>
            <w:r>
              <w:t xml:space="preserve">66–67</w:t>
            </w:r>
          </w:p>
        </w:tc>
        <w:tc>
          <w:tcPr/>
          <w:p>
            <w:pPr>
              <w:pStyle w:val="Compact"/>
            </w:pPr>
            <w:r>
              <w:t xml:space="preserve">Their animals: horses, mules, camels, donkeys</w:t>
            </w:r>
          </w:p>
        </w:tc>
        <w:tc>
          <w:tcPr/>
          <w:p>
            <w:pPr>
              <w:pStyle w:val="Compact"/>
            </w:pPr>
            <w:r>
              <w:t xml:space="preserve">Practical detail underscoring the full-scale nature of the return; also signals economic capacity</w:t>
            </w:r>
          </w:p>
        </w:tc>
      </w:tr>
      <w:tr>
        <w:tc>
          <w:tcPr/>
          <w:p>
            <w:pPr>
              <w:pStyle w:val="Compact"/>
            </w:pPr>
            <w:r>
              <w:t xml:space="preserve">68–69</w:t>
            </w:r>
          </w:p>
        </w:tc>
        <w:tc>
          <w:tcPr/>
          <w:p>
            <w:pPr>
              <w:pStyle w:val="Compact"/>
            </w:pPr>
            <w:r>
              <w:t xml:space="preserve">Freewill offerings given at the temple site: 61,000 gold drachmas, 5,000 minas of silver, 100 priestly garments</w:t>
            </w:r>
          </w:p>
        </w:tc>
        <w:tc>
          <w:tcPr/>
          <w:p>
            <w:pPr>
              <w:pStyle w:val="Compact"/>
            </w:pPr>
            <w:r>
              <w:t xml:space="preserve">Immediate generosity upon arrival; the people gave freely before the temple was rebuilt — faith preceding sight</w:t>
            </w:r>
          </w:p>
        </w:tc>
      </w:tr>
      <w:tr>
        <w:tc>
          <w:tcPr/>
          <w:p>
            <w:pPr>
              <w:pStyle w:val="Compact"/>
            </w:pPr>
            <w:r>
              <w:t xml:space="preserve">70</w:t>
            </w:r>
          </w:p>
        </w:tc>
        <w:tc>
          <w:tcPr/>
          <w:p>
            <w:pPr>
              <w:pStyle w:val="Compact"/>
            </w:pPr>
            <w:r>
              <w:t xml:space="preserve">Settlement: priests, Levites, people, singers, gatekeepers, Nethinim settled in their towns</w:t>
            </w:r>
          </w:p>
        </w:tc>
        <w:tc>
          <w:tcPr/>
          <w:p>
            <w:pPr>
              <w:pStyle w:val="Compact"/>
            </w:pPr>
            <w:r>
              <w:t xml:space="preserve">Every group in its place; covenantal order restored; the list ends where it began — each to his own town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1–2a</w:t>
            </w:r>
          </w:p>
        </w:tc>
        <w:tc>
          <w:tcPr/>
          <w:p>
            <w:pPr>
              <w:pStyle w:val="Compact"/>
            </w:pPr>
            <w:r>
              <w:t xml:space="preserve">The Return Named: Leadership and Context</w:t>
            </w:r>
          </w:p>
        </w:tc>
      </w:tr>
      <w:tr>
        <w:tc>
          <w:tcPr/>
          <w:p>
            <w:pPr>
              <w:pStyle w:val="Compact"/>
            </w:pPr>
            <w:r>
              <w:t xml:space="preserve">2</w:t>
            </w:r>
          </w:p>
        </w:tc>
        <w:tc>
          <w:tcPr/>
          <w:p>
            <w:pPr>
              <w:pStyle w:val="Compact"/>
            </w:pPr>
            <w:r>
              <w:t xml:space="preserve">2b–35</w:t>
            </w:r>
          </w:p>
        </w:tc>
        <w:tc>
          <w:tcPr/>
          <w:p>
            <w:pPr>
              <w:pStyle w:val="Compact"/>
            </w:pPr>
            <w:r>
              <w:t xml:space="preserve">The People Named: Family Registers of Israel</w:t>
            </w:r>
          </w:p>
        </w:tc>
      </w:tr>
      <w:tr>
        <w:tc>
          <w:tcPr/>
          <w:p>
            <w:pPr>
              <w:pStyle w:val="Compact"/>
            </w:pPr>
            <w:r>
              <w:t xml:space="preserve">3</w:t>
            </w:r>
          </w:p>
        </w:tc>
        <w:tc>
          <w:tcPr/>
          <w:p>
            <w:pPr>
              <w:pStyle w:val="Compact"/>
            </w:pPr>
            <w:r>
              <w:t xml:space="preserve">36–42</w:t>
            </w:r>
          </w:p>
        </w:tc>
        <w:tc>
          <w:tcPr/>
          <w:p>
            <w:pPr>
              <w:pStyle w:val="Compact"/>
            </w:pPr>
            <w:r>
              <w:t xml:space="preserve">The Servants of Worship Named: Priests, Levites, Singers, Gatekeepers</w:t>
            </w:r>
          </w:p>
        </w:tc>
      </w:tr>
      <w:tr>
        <w:tc>
          <w:tcPr/>
          <w:p>
            <w:pPr>
              <w:pStyle w:val="Compact"/>
            </w:pPr>
            <w:r>
              <w:t xml:space="preserve">4</w:t>
            </w:r>
          </w:p>
        </w:tc>
        <w:tc>
          <w:tcPr/>
          <w:p>
            <w:pPr>
              <w:pStyle w:val="Compact"/>
            </w:pPr>
            <w:r>
              <w:t xml:space="preserve">43–58</w:t>
            </w:r>
          </w:p>
        </w:tc>
        <w:tc>
          <w:tcPr/>
          <w:p>
            <w:pPr>
              <w:pStyle w:val="Compact"/>
            </w:pPr>
            <w:r>
              <w:t xml:space="preserve">The Temple Servants Named: Nethinim and Servants of Solomon</w:t>
            </w:r>
          </w:p>
        </w:tc>
      </w:tr>
      <w:tr>
        <w:tc>
          <w:tcPr/>
          <w:p>
            <w:pPr>
              <w:pStyle w:val="Compact"/>
            </w:pPr>
            <w:r>
              <w:t xml:space="preserve">5</w:t>
            </w:r>
          </w:p>
        </w:tc>
        <w:tc>
          <w:tcPr/>
          <w:p>
            <w:pPr>
              <w:pStyle w:val="Compact"/>
            </w:pPr>
            <w:r>
              <w:t xml:space="preserve">59–63</w:t>
            </w:r>
          </w:p>
        </w:tc>
        <w:tc>
          <w:tcPr/>
          <w:p>
            <w:pPr>
              <w:pStyle w:val="Compact"/>
            </w:pPr>
            <w:r>
              <w:t xml:space="preserve">The Uncertain Named: Those Without Verified Lineage</w:t>
            </w:r>
          </w:p>
        </w:tc>
      </w:tr>
      <w:tr>
        <w:tc>
          <w:tcPr/>
          <w:p>
            <w:pPr>
              <w:pStyle w:val="Compact"/>
            </w:pPr>
            <w:r>
              <w:t xml:space="preserve">6</w:t>
            </w:r>
          </w:p>
        </w:tc>
        <w:tc>
          <w:tcPr/>
          <w:p>
            <w:pPr>
              <w:pStyle w:val="Compact"/>
            </w:pPr>
            <w:r>
              <w:t xml:space="preserve">64–67</w:t>
            </w:r>
          </w:p>
        </w:tc>
        <w:tc>
          <w:tcPr/>
          <w:p>
            <w:pPr>
              <w:pStyle w:val="Compact"/>
            </w:pPr>
            <w:r>
              <w:t xml:space="preserve">The Community Counted: Grand Totals</w:t>
            </w:r>
          </w:p>
        </w:tc>
      </w:tr>
      <w:tr>
        <w:tc>
          <w:tcPr/>
          <w:p>
            <w:pPr>
              <w:pStyle w:val="Compact"/>
            </w:pPr>
            <w:r>
              <w:t xml:space="preserve">7</w:t>
            </w:r>
          </w:p>
        </w:tc>
        <w:tc>
          <w:tcPr/>
          <w:p>
            <w:pPr>
              <w:pStyle w:val="Compact"/>
            </w:pPr>
            <w:r>
              <w:t xml:space="preserve">68–69</w:t>
            </w:r>
          </w:p>
        </w:tc>
        <w:tc>
          <w:tcPr/>
          <w:p>
            <w:pPr>
              <w:pStyle w:val="Compact"/>
            </w:pPr>
            <w:r>
              <w:t xml:space="preserve">The Community’s Offering: Freewill Gifts at the Temple Site</w:t>
            </w:r>
          </w:p>
        </w:tc>
      </w:tr>
      <w:tr>
        <w:tc>
          <w:tcPr/>
          <w:p>
            <w:pPr>
              <w:pStyle w:val="Compact"/>
            </w:pPr>
            <w:r>
              <w:t xml:space="preserve">8</w:t>
            </w:r>
          </w:p>
        </w:tc>
        <w:tc>
          <w:tcPr/>
          <w:p>
            <w:pPr>
              <w:pStyle w:val="Compact"/>
            </w:pPr>
            <w:r>
              <w:t xml:space="preserve">70</w:t>
            </w:r>
          </w:p>
        </w:tc>
        <w:tc>
          <w:tcPr/>
          <w:p>
            <w:pPr>
              <w:pStyle w:val="Compact"/>
            </w:pPr>
            <w:r>
              <w:t xml:space="preserve">The Community Settled: Each to His Own Town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names and numbers His returning exiles as living proof of covenant fulfillment.</w:t>
      </w:r>
    </w:p>
    <w:p>
      <w:pPr>
        <w:pStyle w:val="BodyText"/>
      </w:pPr>
      <w:r>
        <w:rPr>
          <w:b/>
          <w:bCs/>
        </w:rPr>
        <w:t xml:space="preserve">Primary Claim:</w:t>
      </w:r>
      <w:r>
        <w:t xml:space="preserve"> </w:t>
      </w:r>
      <w:r>
        <w:t xml:space="preserve">God’s meticulous recording of every family, every priest, every Levite, and every servant who returned from exile declares that covenant restoration is not a general phenomenon but a particular act — He knows His own by name, He brings them home by count, and He accounts for every one of them. The reader is called to rest in the certainty that belonging to God means being personally, irreversibly known.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Resist the impulse to skip the names — train yourself to read what God preserved.</w:t>
      </w:r>
      <w:r>
        <w:t xml:space="preserve"> </w:t>
      </w:r>
      <w:r>
        <w:rPr>
          <w:i/>
          <w:iCs/>
        </w:rPr>
        <w:t xml:space="preserve">(Mind/Belief)</w:t>
      </w:r>
      <w:r>
        <w:t xml:space="preserve"> </w:t>
      </w:r>
      <w:r>
        <w:t xml:space="preserve">Every name in Ezra 2 is there because God considered it worth preserving in His Word for every generation that would read it. The habit of skipping genealogical and census passages is a habit of deciding which parts of Scripture are useful — a form of functional editing of the canon. The reader who trains themselves to ask</w:t>
      </w:r>
      <w:r>
        <w:t xml:space="preserve"> </w:t>
      </w:r>
      <w:r>
        <w:rPr>
          <w:i/>
          <w:iCs/>
        </w:rPr>
        <w:t xml:space="preserve">why did God preserve this list?</w:t>
      </w:r>
      <w:r>
        <w:t xml:space="preserve"> </w:t>
      </w:r>
      <w:r>
        <w:t xml:space="preserve">before asking</w:t>
      </w:r>
      <w:r>
        <w:t xml:space="preserve"> </w:t>
      </w:r>
      <w:r>
        <w:rPr>
          <w:i/>
          <w:iCs/>
        </w:rPr>
        <w:t xml:space="preserve">what does this list say?</w:t>
      </w:r>
      <w:r>
        <w:t xml:space="preserve"> </w:t>
      </w:r>
      <w:r>
        <w:t xml:space="preserve">is learning to submit their reading instincts to God’s authorial choices. This text is in the canon because God wanted you to see these names. Stop skipping them.</w:t>
      </w:r>
    </w:p>
    <w:p>
      <w:pPr>
        <w:pStyle w:val="BodyText"/>
      </w:pPr>
      <w:r>
        <w:rPr>
          <w:b/>
          <w:bCs/>
        </w:rPr>
        <w:t xml:space="preserve">2. Let the particularity of this list reshape how you understand God’s knowledge of you.</w:t>
      </w:r>
      <w:r>
        <w:t xml:space="preserve"> </w:t>
      </w:r>
      <w:r>
        <w:rPr>
          <w:i/>
          <w:iCs/>
        </w:rPr>
        <w:t xml:space="preserve">(Affections/Worship)</w:t>
      </w:r>
      <w:r>
        <w:t xml:space="preserve"> </w:t>
      </w:r>
      <w:r>
        <w:t xml:space="preserve">The God who preserved the name of every returning Levite and every temple gatekeeper and every servant of Solomon is the God who knows your name with the same specificity. God does not deal in generalities — He deals in persons. The emotional effect of this list, rightly received, is not tedium but wonder: the same divine attentiveness that produced this register is attentive to you. When you feel anonymous — in your church, in your suffering, in your ordinary life — this chapter is God’s answer. He names people. He numbers people. He does not lose track of the ones who belong to Him. Let that produce worship, not just doctrine.</w:t>
      </w:r>
    </w:p>
    <w:p>
      <w:pPr>
        <w:pStyle w:val="BodyText"/>
      </w:pPr>
      <w:r>
        <w:rPr>
          <w:b/>
          <w:bCs/>
        </w:rPr>
        <w:t xml:space="preserve">3. Take covenantal standing seriously — know where you belong and why.</w:t>
      </w:r>
      <w:r>
        <w:t xml:space="preserve"> </w:t>
      </w:r>
      <w:r>
        <w:rPr>
          <w:i/>
          <w:iCs/>
        </w:rPr>
        <w:t xml:space="preserve">(Mind/Belief)</w:t>
      </w:r>
      <w:r>
        <w:t xml:space="preserve"> </w:t>
      </w:r>
      <w:r>
        <w:t xml:space="preserve">The returnees in Ezra 2 were meticulous about verified lineage, not from pride but from covenantal seriousness. They understood that their right to worship, to serve, to contribute to the temple community had to rest on legitimate grounds — not self-designation. The New Covenant parallel is this: the believer’s right to draw near to God rests not on their sincerity or spiritual feeling but on Christ’s verified, unimpeachable priestly standing on their behalf (Hebrews 7:24–25). Know what grounds your access to God. It is not your consistency, your record of devotion, or your sense of spiritual adequacy — it is Christ, whose lineage and standing before the Father can never be challenged. This is the antitype that the excluded priests in verses 61–63 were waiting for.</w:t>
      </w:r>
    </w:p>
    <w:p>
      <w:pPr>
        <w:pStyle w:val="BodyText"/>
      </w:pPr>
      <w:r>
        <w:rPr>
          <w:b/>
          <w:bCs/>
        </w:rPr>
        <w:t xml:space="preserve">4. Give before the building is complete — practice freewill generosity toward what God is doing.</w:t>
      </w:r>
      <w:r>
        <w:t xml:space="preserve"> </w:t>
      </w:r>
      <w:r>
        <w:rPr>
          <w:i/>
          <w:iCs/>
        </w:rPr>
        <w:t xml:space="preserve">(Will/Behavior)</w:t>
      </w:r>
      <w:r>
        <w:t xml:space="preserve"> </w:t>
      </w:r>
      <w:r>
        <w:t xml:space="preserve">The freewill offerings in verses 68–69 were given upon arrival at the temple site — before any building had begun, before any results were visible, before the project was proven viable. The returnees gave toward a ruin. This is faith-shaped generosity: not waiting until the outcome is certain before contributing, but investing in what God has declared He will build. Identify what God is building in your local church, in your community, in the lives of people around you — and give toward it before the outcome is clear. Generosity is not a response to success; it is a declaration of trust.</w:t>
      </w:r>
    </w:p>
    <w:p>
      <w:pPr>
        <w:pStyle w:val="BodyText"/>
      </w:pPr>
      <w:r>
        <w:rPr>
          <w:b/>
          <w:bCs/>
        </w:rPr>
        <w:t xml:space="preserve">5. Receive your settlement as a gift, not an entitlement — resist the restlessness that treats God’s provision as a starting point for something better.</w:t>
      </w:r>
      <w:r>
        <w:t xml:space="preserve"> </w:t>
      </w:r>
      <w:r>
        <w:rPr>
          <w:i/>
          <w:iCs/>
        </w:rPr>
        <w:t xml:space="preserve">(Affections/Worship)</w:t>
      </w:r>
      <w:r>
        <w:t xml:space="preserve"> </w:t>
      </w:r>
      <w:r>
        <w:t xml:space="preserve">Verse 70 closes the chapter with a quiet, profound note:</w:t>
      </w:r>
      <w:r>
        <w:t xml:space="preserve"> </w:t>
      </w:r>
      <w:r>
        <w:t xml:space="preserve">“the priests, the Levites, the people, the singers, the gatekeepers, and the temple servants settled in their towns, and all the rest of Israel in their towns.”</w:t>
      </w:r>
      <w:r>
        <w:t xml:space="preserve"> </w:t>
      </w:r>
      <w:r>
        <w:t xml:space="preserve">After exile, displacement, and the long journey home — they settled. They received their places. The temptation for a people returned from exile is to view their restored settlement as a base from which to rebuild something greater than what they lost. But the text ends with rest, not with restlessness. Train your affections to receive where God has placed you — your church, your neighborhood, your season of life — as His specific provision for you, rather than as a temporary inconvenience on the way to something you are building for yourself.</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Ezra 2 testifies that God’s covenant faithfulness is not merely promissory but particular — He fulfills His word at the level of specific persons, families, and roles, not merely at the level of national or corporate outcomes. The chapter demonstrates that God’s sovereign purposes do not operate above or around human particularity but through it: He brings home this family and that priest and those Levites and these temple servants. The preservation of the Urim and Thummim question (v. 63) further reveals that covenant access to God requires verified standing — not presumption — and that God is the one who ultimately adjudicates that standing. The freewill offerings (vv. 68–69) display that God’s people, when restored by grace, respond with glad generosity — a pattern rooted in the character of the God whose restoration is itself a gift, not a wage.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theology’s insistence on particular redemption — that God saves specific persons, not an undifferentiated mass — finds a powerful Old Testament type in Ezra 2. The God who names every returning exile is the God who, in Ephesians 1:4, chose His people</w:t>
      </w:r>
      <w:r>
        <w:t xml:space="preserve"> </w:t>
      </w:r>
      <w:r>
        <w:t xml:space="preserve">“in him before the foundation of the world”</w:t>
      </w:r>
      <w:r>
        <w:t xml:space="preserve"> </w:t>
      </w:r>
      <w:r>
        <w:t xml:space="preserve">— not abstractly but individually, covenantally, irreversibly. The chapter also grounds Reformed covenant theology’s insistence that belonging to God’s people carries structure, accountability, and verified standing — not spiritual feelings or self-declaration. The excluded priests (vv. 61–63) are not rejected from the community but are restricted from priestly function pending divine confirmation — a pastoral model that holds together covenant inclusivity with covenant holiness. Most significantly, the entire list is a monument to monergistic grace: these people did not choose exile, they did not arrange their own return, and they did not generate Cyrus’s decree. God stirred their spirits (Ezra 1:5), and they came. The list is a testimony to grace — every name on it is there because God moved first.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does not save categories — He saves people. Every name in Ezra 2 is evidence that the LORD’s covenant faithfulness is particular, personal, and precise: He knew who was going into exile, He knew who was coming home, and He made sure the record showed it. If you belong to Him, you are not a number in a demographic — you are a name He has known from before time, brought home at the cost of His Son, and will never lose track of. The list in Ezra 2 is the ancient form of what Christ declared plainly:</w:t>
      </w:r>
      <w:r>
        <w:t xml:space="preserve"> </w:t>
      </w:r>
      <w:r>
        <w:t xml:space="preserve">“I know my own.”</w:t>
      </w:r>
      <w:r>
        <w:t xml:space="preserve"> </w:t>
      </w:r>
      <w:r>
        <w:t xml:space="preserve">Live from that certainty.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Ezra 2 as a passage to be skipped or minimized.</w:t>
      </w:r>
      <w:r>
        <w:t xml:space="preserve"> </w:t>
      </w:r>
      <w:r>
        <w:t xml:space="preserve">The most common homiletical failure with this chapter is not preaching it at all — or opening the sermon with an apology for the list (</w:t>
      </w:r>
      <w:r>
        <w:t xml:space="preserve">“I know this isn’t the most exciting chapter…”</w:t>
      </w:r>
      <w:r>
        <w:t xml:space="preserve">). This communicates to the congregation that God included content in His Word that is not worth their time. The preacher who opens Ezra 2 with genuine exegetical conviction that this list is theology in the form of names will model for the congregation what it looks like to trust that every word of Scripture is profitable. Never apologize for a passage before preaching it.</w:t>
      </w:r>
    </w:p>
    <w:p>
      <w:pPr>
        <w:numPr>
          <w:ilvl w:val="0"/>
          <w:numId w:val="1002"/>
        </w:numPr>
      </w:pPr>
      <w:r>
        <w:rPr>
          <w:b/>
          <w:bCs/>
        </w:rPr>
        <w:t xml:space="preserve">Preaching the list as a model of faithfulness rather than a testimony to God’s faithfulness.</w:t>
      </w:r>
      <w:r>
        <w:t xml:space="preserve"> </w:t>
      </w:r>
      <w:r>
        <w:t xml:space="preserve">A moralistic reading of Ezra 2 extracts the lesson:</w:t>
      </w:r>
      <w:r>
        <w:t xml:space="preserve"> </w:t>
      </w:r>
      <w:r>
        <w:t xml:space="preserve">“These people responded to God’s call — we should too.”</w:t>
      </w:r>
      <w:r>
        <w:t xml:space="preserve"> </w:t>
      </w:r>
      <w:r>
        <w:t xml:space="preserve">While the returnees’ response is real and commendable, the chapter’s primary claim is not about their response but about what their response proves: God’s covenant faithfulness actually landed on actual people. The list is evidence of God’s reliability, not a hall of fame for human faithfulness. Applications should be grounded in what God did, not in what the returnees did.</w:t>
      </w:r>
    </w:p>
    <w:p>
      <w:pPr>
        <w:numPr>
          <w:ilvl w:val="0"/>
          <w:numId w:val="1002"/>
        </w:numPr>
      </w:pPr>
      <w:r>
        <w:rPr>
          <w:b/>
          <w:bCs/>
        </w:rPr>
        <w:t xml:space="preserve">Ignoring the Levite problem (v. 40).</w:t>
      </w:r>
      <w:r>
        <w:t xml:space="preserve"> </w:t>
      </w:r>
      <w:r>
        <w:t xml:space="preserve">The notably small number of Levites — 74 out of 42,360 — is a significant narrative detail that should not pass without comment. It anticipates Ezra 8:15–19, where Ezra must specifically recruit Levites for the second return because none came forward voluntarily. Levites were temple workers without land grants; the economic calculus of returning to serve in a ruined temple was unfavorable. The small Levite count is a pastoral observation about the difficulty of calling people to unglamorous covenantal service — and should be preached honestly as a recurring pattern in the life of God’s people.</w:t>
      </w:r>
    </w:p>
    <w:p>
      <w:pPr>
        <w:numPr>
          <w:ilvl w:val="0"/>
          <w:numId w:val="1002"/>
        </w:numPr>
      </w:pPr>
      <w:r>
        <w:rPr>
          <w:b/>
          <w:bCs/>
        </w:rPr>
        <w:t xml:space="preserve">Misreading the excluded priests as a failure of grace.</w:t>
      </w:r>
      <w:r>
        <w:t xml:space="preserve"> </w:t>
      </w:r>
      <w:r>
        <w:t xml:space="preserve">Verses 61–63 are sometimes preached as a harsh exclusion — God’s people turning away the sincere. This misreads the passage. The excluded priests were not rejected from the community (v. 62 says they were treated as unclean and excluded from the priesthood, not from Israel). The concern is not their sincerity but their ability to exercise a covenantal office that carries enormous responsibility. The New Covenant application is not</w:t>
      </w:r>
      <w:r>
        <w:t xml:space="preserve"> </w:t>
      </w:r>
      <w:r>
        <w:t xml:space="preserve">“God excludes the inadequately documented”</w:t>
      </w:r>
      <w:r>
        <w:t xml:space="preserve"> </w:t>
      </w:r>
      <w:r>
        <w:t xml:space="preserve">but rather</w:t>
      </w:r>
      <w:r>
        <w:t xml:space="preserve"> </w:t>
      </w:r>
      <w:r>
        <w:t xml:space="preserve">“Christ is the priest whose standing never requires verification — He is the answer to the Urim and Thummim question these men were waiting for.”</w:t>
      </w:r>
    </w:p>
    <w:p>
      <w:pPr>
        <w:numPr>
          <w:ilvl w:val="0"/>
          <w:numId w:val="1002"/>
        </w:numPr>
      </w:pPr>
      <w:r>
        <w:rPr>
          <w:b/>
          <w:bCs/>
        </w:rPr>
        <w:t xml:space="preserve">Missing the freewill offering as a theological statement.</w:t>
      </w:r>
      <w:r>
        <w:t xml:space="preserve"> </w:t>
      </w:r>
      <w:r>
        <w:t xml:space="preserve">The gifts in verses 68–69 are frequently preached as a stewardship illustration:</w:t>
      </w:r>
      <w:r>
        <w:t xml:space="preserve"> </w:t>
      </w:r>
      <w:r>
        <w:t xml:space="preserve">“Look at their generosity.”</w:t>
      </w:r>
      <w:r>
        <w:t xml:space="preserve"> </w:t>
      </w:r>
      <w:r>
        <w:t xml:space="preserve">But the theological weight is heavier than that. These people gave toward a ruin, at the beginning of a project that faced enormous obstacles (as the following chapters will show). Their giving was an act of prophetic trust — they were funding what God said He would build before they had any evidence it would succeed. This is not generosity as a virtue; it is faith expressed in treasure. Preach it that way.</w:t>
      </w:r>
    </w:p>
    <w:p>
      <w:pPr>
        <w:numPr>
          <w:ilvl w:val="0"/>
          <w:numId w:val="1002"/>
        </w:numPr>
      </w:pPr>
      <w:r>
        <w:rPr>
          <w:b/>
          <w:bCs/>
        </w:rPr>
        <w:t xml:space="preserve">Failing to connect Ezra 2 to its New Testament fulfillment.</w:t>
      </w:r>
      <w:r>
        <w:t xml:space="preserve"> </w:t>
      </w:r>
      <w:r>
        <w:t xml:space="preserve">The names in Ezra 2, the Good Shepherd who calls His sheep by name (John 10), and the Lamb’s Book of Life (Revelation 21) are a single canonical thread. A sermon on Ezra 2 that does not move toward Christ leaves the congregation with a warm historical story but not the gospel. The point of the list is not that these specific people came home to Jerusalem — it is that the God who kept that roster is the God who has kept a roster since before creation, and every name He knows, He keeps.</w:t>
      </w:r>
    </w:p>
    <w:p>
      <w:r>
        <w:pict>
          <v:rect style="width:0;height:1.5pt" o:hralign="center" o:hrstd="t" o:hr="t"/>
        </w:pict>
      </w:r>
    </w:p>
    <w:p>
      <w:pPr>
        <w:pStyle w:val="FirstParagraph"/>
      </w:pPr>
      <w:r>
        <w:rPr>
          <w:i/>
          <w:iCs/>
        </w:rPr>
        <w:t xml:space="preserve">Document generated per CLAUDE2.md framework. Output file: 15 Ezra 02.docx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2026-07-14T21:03:38Z</dcterms:created>
  <dcterms:modified xsi:type="dcterms:W3CDTF">2026-07-14T21:03:38Z</dcterms:modified>
</cp:coreProperties>
</file>

<file path=docProps/custom.xml><?xml version="1.0" encoding="utf-8"?>
<Properties xmlns="http://schemas.openxmlformats.org/officeDocument/2006/custom-properties" xmlns:vt="http://schemas.openxmlformats.org/officeDocument/2006/docPropsVTypes"/>
</file>